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955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0"/>
        <w:gridCol w:w="426"/>
        <w:gridCol w:w="425"/>
        <w:gridCol w:w="425"/>
        <w:gridCol w:w="426"/>
        <w:gridCol w:w="2662"/>
        <w:gridCol w:w="392"/>
        <w:gridCol w:w="8"/>
      </w:tblGrid>
      <w:tr w:rsidR="003E57FC" w:rsidRPr="00161941" w14:paraId="3785DA05" w14:textId="77777777" w:rsidTr="0058701F">
        <w:trPr>
          <w:gridAfter w:val="1"/>
          <w:wAfter w:w="8" w:type="dxa"/>
          <w:trHeight w:val="206"/>
          <w:tblHeader/>
        </w:trPr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52535" w14:textId="77777777" w:rsidR="003E57FC" w:rsidRPr="00D41CDF" w:rsidRDefault="003E57FC" w:rsidP="003E57FC">
            <w:pPr>
              <w:rPr>
                <w:rFonts w:asciiTheme="majorHAnsi" w:hAnsiTheme="majorHAnsi" w:cstheme="majorHAnsi"/>
                <w:b/>
                <w:bCs/>
              </w:rPr>
            </w:pPr>
            <w:r w:rsidRPr="00D41CDF">
              <w:rPr>
                <w:rFonts w:ascii="Arial" w:hAnsi="Arial" w:cs="Arial"/>
                <w:color w:val="3A747C"/>
                <w:sz w:val="18"/>
                <w:szCs w:val="18"/>
              </w:rPr>
              <w:t>Kompetenzen Lehrkraft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80C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+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D60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9E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D1E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- -</w:t>
            </w: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369884" w14:textId="77777777" w:rsidR="003E57FC" w:rsidRPr="00D41CDF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CDF">
              <w:rPr>
                <w:rFonts w:ascii="Arial" w:hAnsi="Arial" w:cs="Arial"/>
                <w:color w:val="3A747C"/>
                <w:sz w:val="18"/>
                <w:szCs w:val="18"/>
              </w:rPr>
              <w:t>Material</w:t>
            </w:r>
          </w:p>
        </w:tc>
      </w:tr>
      <w:tr w:rsidR="003E57FC" w:rsidRPr="00161941" w14:paraId="7FFFA9EE" w14:textId="77777777" w:rsidTr="00AB4C48">
        <w:trPr>
          <w:trHeight w:val="206"/>
        </w:trPr>
        <w:tc>
          <w:tcPr>
            <w:tcW w:w="9974" w:type="dxa"/>
            <w:gridSpan w:val="8"/>
            <w:tcBorders>
              <w:left w:val="nil"/>
              <w:bottom w:val="nil"/>
              <w:right w:val="nil"/>
            </w:tcBorders>
          </w:tcPr>
          <w:p w14:paraId="2509B208" w14:textId="57292903" w:rsidR="003E57FC" w:rsidRPr="00161941" w:rsidRDefault="001C6384" w:rsidP="003E57FC">
            <w:pPr>
              <w:rPr>
                <w:rFonts w:asciiTheme="majorHAnsi" w:hAnsiTheme="majorHAnsi" w:cstheme="majorHAnsi"/>
              </w:rPr>
            </w:pPr>
            <w:r w:rsidRPr="001C6384"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Diagnosegeleitet Fördern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="003E57FC" w:rsidRPr="00161941">
              <w:rPr>
                <w:rFonts w:ascii="Arial" w:hAnsi="Arial" w:cs="Arial"/>
                <w:b/>
                <w:bCs/>
                <w:sz w:val="18"/>
                <w:szCs w:val="18"/>
              </w:rPr>
              <w:t>Theoretisches Hintergrundwissen</w:t>
            </w:r>
          </w:p>
        </w:tc>
      </w:tr>
      <w:tr w:rsidR="003E57FC" w:rsidRPr="00DD76A9" w14:paraId="11C8827B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7052D" w14:textId="25C12723" w:rsidR="003E57FC" w:rsidRPr="00DD76A9" w:rsidRDefault="003E57FC" w:rsidP="005870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76A9">
              <w:rPr>
                <w:rFonts w:asciiTheme="majorHAnsi" w:hAnsiTheme="majorHAnsi" w:cstheme="majorHAnsi"/>
                <w:sz w:val="20"/>
                <w:szCs w:val="20"/>
              </w:rPr>
              <w:t xml:space="preserve">Ich </w:t>
            </w:r>
            <w:r w:rsidR="0058701F">
              <w:rPr>
                <w:rFonts w:asciiTheme="majorHAnsi" w:hAnsiTheme="majorHAnsi" w:cstheme="majorHAnsi"/>
                <w:sz w:val="20"/>
                <w:szCs w:val="20"/>
              </w:rPr>
              <w:t>kenne den zirkulären Prozess von Diagnose und Förderung und weiß um die Wichtigkeit einer angemessenen Deutung der Diagnose für eine individuell angepasste Förderung.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09D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286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76D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71C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96DB9" w14:textId="39E634D1" w:rsidR="003E57FC" w:rsidRPr="00AC2AAF" w:rsidRDefault="00AC40CC" w:rsidP="003E57F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</w:t>
              </w:r>
              <w:r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 xml:space="preserve"> </w:t>
              </w:r>
              <w:r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M</w:t>
              </w:r>
              <w:r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a</w:t>
              </w:r>
              <w:r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t</w:t>
              </w:r>
              <w:r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he inklusiv mit PIKAS</w:t>
              </w:r>
            </w:hyperlink>
            <w:r w:rsidRPr="00AC2AAF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>: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8701F" w:rsidRPr="00AC2AAF">
              <w:rPr>
                <w:rFonts w:asciiTheme="majorHAnsi" w:hAnsiTheme="majorHAnsi" w:cstheme="majorHAnsi"/>
                <w:sz w:val="18"/>
                <w:szCs w:val="18"/>
              </w:rPr>
              <w:t>Diagnosegeleitet fördern</w:t>
            </w:r>
          </w:p>
          <w:p w14:paraId="4D034706" w14:textId="4D3E41EB" w:rsidR="0058701F" w:rsidRPr="00DD76A9" w:rsidRDefault="00AC40CC" w:rsidP="003E57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Handreichung </w:t>
              </w:r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</w:t>
              </w:r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athematik gemeinsam lernen</w:t>
              </w:r>
            </w:hyperlink>
            <w:r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>(Kap. 4)</w:t>
            </w:r>
          </w:p>
        </w:tc>
      </w:tr>
      <w:tr w:rsidR="00AC40CC" w:rsidRPr="00DD76A9" w14:paraId="7E82AA61" w14:textId="77777777" w:rsidTr="00AC40CC">
        <w:trPr>
          <w:gridAfter w:val="1"/>
          <w:wAfter w:w="8" w:type="dxa"/>
          <w:trHeight w:val="502"/>
        </w:trPr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30983" w14:textId="162D8610" w:rsidR="00AC40CC" w:rsidRPr="00DD76A9" w:rsidRDefault="00AC40CC" w:rsidP="003E57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Ich kann drei wichtige Kriterien für eine Diagnoseaufgabe –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Informativität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Offenheit und Prozessbezug – erläutern.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E8D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0DD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0D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88D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3C56AC" w14:textId="7BCB7FDE" w:rsidR="00AC40CC" w:rsidRPr="00AC2AAF" w:rsidRDefault="00AC40CC" w:rsidP="00AC40C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 w:rsidRPr="00AC2AAF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>: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>Diagnose- und Förderaufgaben</w:t>
            </w:r>
          </w:p>
          <w:p w14:paraId="27FF0C2C" w14:textId="4CEDDC24" w:rsidR="00AC40CC" w:rsidRPr="00AC2AAF" w:rsidRDefault="00AC40CC" w:rsidP="00AC40C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Handreichung Mathematik gemeinsam </w:t>
              </w:r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</w:t>
              </w:r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ernen</w:t>
              </w:r>
            </w:hyperlink>
            <w:r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(Kap. 4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>.2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AC40CC" w:rsidRPr="00DD76A9" w14:paraId="21CD51AF" w14:textId="77777777" w:rsidTr="001467BE">
        <w:trPr>
          <w:gridAfter w:val="1"/>
          <w:wAfter w:w="8" w:type="dxa"/>
          <w:trHeight w:val="502"/>
        </w:trPr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A378E" w14:textId="460AA331" w:rsidR="00AC40CC" w:rsidRPr="00DD76A9" w:rsidRDefault="00AC40CC" w:rsidP="003E57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Ich kann drei wichtige Kriterien für eine Förderaufgabe – diagnosegeleitet,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verstehensorientiert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und kommunikationsfördernd – erläutern.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06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7E4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DD5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393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C76728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701F" w:rsidRPr="00DD76A9" w14:paraId="6070FB38" w14:textId="77777777" w:rsidTr="0058701F">
        <w:trPr>
          <w:gridAfter w:val="1"/>
          <w:wAfter w:w="8" w:type="dxa"/>
          <w:trHeight w:val="100"/>
        </w:trPr>
        <w:tc>
          <w:tcPr>
            <w:tcW w:w="9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508D7" w14:textId="1AD9A6E7" w:rsidR="0058701F" w:rsidRPr="00DD76A9" w:rsidRDefault="0058701F" w:rsidP="005870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6384"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Diagnosegeleitet Fördern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364AD">
              <w:rPr>
                <w:rFonts w:ascii="Arial" w:hAnsi="Arial" w:cs="Arial"/>
                <w:b/>
                <w:bCs/>
                <w:sz w:val="18"/>
                <w:szCs w:val="18"/>
              </w:rPr>
              <w:t>- Aufgaben und Unterricht</w:t>
            </w:r>
          </w:p>
        </w:tc>
      </w:tr>
      <w:tr w:rsidR="00AC2AAF" w:rsidRPr="00DD76A9" w14:paraId="6F483950" w14:textId="77777777" w:rsidTr="00FD2D76">
        <w:trPr>
          <w:gridAfter w:val="1"/>
          <w:wAfter w:w="8" w:type="dxa"/>
          <w:trHeight w:val="502"/>
        </w:trPr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443CE" w14:textId="68F73A64" w:rsidR="00AC2AAF" w:rsidRPr="00DD76A9" w:rsidRDefault="00AC2AAF" w:rsidP="00AC2AA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Ich kann angemessene Diagnose- oder Förderaufgaben auswählen und diese zielorientiert im Unterricht einsetzen.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5D3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E22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06C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9C06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1E18F" w14:textId="77777777" w:rsidR="00AC2AAF" w:rsidRPr="00AC2AAF" w:rsidRDefault="00AC2AAF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 w:rsidRPr="00AC2AAF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>: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Diagnose- und Förderaufgaben</w:t>
            </w:r>
          </w:p>
          <w:p w14:paraId="30C777B5" w14:textId="5B870B9B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 Mathematik gemeinsam lernen</w:t>
              </w:r>
            </w:hyperlink>
            <w:r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(Kap. 4.2)</w:t>
            </w:r>
          </w:p>
        </w:tc>
      </w:tr>
      <w:tr w:rsidR="00AC2AAF" w:rsidRPr="00DD76A9" w14:paraId="048FE73C" w14:textId="77777777" w:rsidTr="002022AC">
        <w:tc>
          <w:tcPr>
            <w:tcW w:w="9974" w:type="dxa"/>
            <w:gridSpan w:val="8"/>
            <w:tcBorders>
              <w:left w:val="nil"/>
              <w:right w:val="nil"/>
            </w:tcBorders>
          </w:tcPr>
          <w:p w14:paraId="361952F2" w14:textId="4F4A7FEC" w:rsidR="00AC2AAF" w:rsidRPr="00DD76A9" w:rsidRDefault="00AC2AAF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Operationsverständnis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161941">
              <w:rPr>
                <w:rFonts w:ascii="Arial" w:hAnsi="Arial" w:cs="Arial"/>
                <w:b/>
                <w:bCs/>
                <w:sz w:val="18"/>
                <w:szCs w:val="18"/>
              </w:rPr>
              <w:t>Theoretisches Hintergrundwissen</w:t>
            </w:r>
          </w:p>
        </w:tc>
      </w:tr>
      <w:tr w:rsidR="00AC2AAF" w:rsidRPr="00DD76A9" w14:paraId="02178C85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1FA689B1" w14:textId="624DCE50" w:rsidR="00AC2AAF" w:rsidRPr="00DD76A9" w:rsidRDefault="00AC2AAF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76A9">
              <w:rPr>
                <w:rFonts w:asciiTheme="majorHAnsi" w:hAnsiTheme="majorHAnsi" w:cstheme="majorHAnsi"/>
                <w:sz w:val="20"/>
                <w:szCs w:val="20"/>
              </w:rPr>
              <w:t xml:space="preserve">Ich kann die wichtigen Aspekte zum Aufbau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von</w:t>
            </w:r>
            <w:r w:rsidRPr="00DD76A9">
              <w:rPr>
                <w:rFonts w:asciiTheme="majorHAnsi" w:hAnsiTheme="majorHAnsi" w:cstheme="majorHAnsi"/>
                <w:sz w:val="20"/>
                <w:szCs w:val="20"/>
              </w:rPr>
              <w:t xml:space="preserve"> tragfähigen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Operationsvorstellungen</w:t>
            </w:r>
            <w:r w:rsidRPr="00DD76A9">
              <w:rPr>
                <w:rFonts w:asciiTheme="majorHAnsi" w:hAnsiTheme="majorHAnsi" w:cstheme="majorHAnsi"/>
                <w:sz w:val="20"/>
                <w:szCs w:val="20"/>
              </w:rPr>
              <w:t xml:space="preserve"> – Grundvorstellungen aufbauen,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Darstellungswechsel</w:t>
            </w:r>
            <w:r w:rsidRPr="00DD76A9">
              <w:rPr>
                <w:rFonts w:asciiTheme="majorHAnsi" w:hAnsiTheme="majorHAnsi" w:cstheme="majorHAnsi"/>
                <w:sz w:val="20"/>
                <w:szCs w:val="20"/>
              </w:rPr>
              <w:t xml:space="preserve"> und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</w:t>
            </w:r>
            <w:r w:rsidRPr="00DD76A9">
              <w:rPr>
                <w:rFonts w:asciiTheme="majorHAnsi" w:hAnsiTheme="majorHAnsi" w:cstheme="majorHAnsi"/>
                <w:sz w:val="20"/>
                <w:szCs w:val="20"/>
              </w:rPr>
              <w:t>ziehungen nutzen –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D76A9">
              <w:rPr>
                <w:rFonts w:asciiTheme="majorHAnsi" w:hAnsiTheme="majorHAnsi" w:cstheme="majorHAnsi"/>
                <w:sz w:val="20"/>
                <w:szCs w:val="20"/>
              </w:rPr>
              <w:t>unterscheiden und weiß, was sie bedeuten.</w:t>
            </w:r>
          </w:p>
        </w:tc>
        <w:tc>
          <w:tcPr>
            <w:tcW w:w="426" w:type="dxa"/>
          </w:tcPr>
          <w:p w14:paraId="52FD1B2C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30858F3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24946AF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0296A56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right w:val="nil"/>
            </w:tcBorders>
          </w:tcPr>
          <w:p w14:paraId="275CAE96" w14:textId="77777777" w:rsidR="00AC2AAF" w:rsidRPr="004D2672" w:rsidRDefault="004D2672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Webseite Mat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 inklusiv mit PIKAS</w:t>
              </w:r>
            </w:hyperlink>
            <w:r w:rsidR="00AC2AAF" w:rsidRPr="004D26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CA56879" w14:textId="77777777" w:rsidR="004D2672" w:rsidRDefault="004D2672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D2672">
              <w:rPr>
                <w:rFonts w:asciiTheme="majorHAnsi" w:hAnsiTheme="majorHAnsi" w:cstheme="majorHAnsi"/>
                <w:sz w:val="18"/>
                <w:szCs w:val="18"/>
              </w:rPr>
              <w:t>Operationen verstehen</w:t>
            </w:r>
          </w:p>
          <w:p w14:paraId="2C22B137" w14:textId="77777777" w:rsidR="00B55DAE" w:rsidRDefault="00B55DAE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5" w:history="1"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 Mathematik gemeinsam lernen</w:t>
              </w:r>
            </w:hyperlink>
            <w:r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6627DE55" w14:textId="77777777" w:rsidR="008508C9" w:rsidRPr="008508C9" w:rsidRDefault="008508C9" w:rsidP="008508C9">
            <w:pPr>
              <w:jc w:val="center"/>
              <w:rPr>
                <w:rStyle w:val="Hervorhebung"/>
                <w:rFonts w:asciiTheme="majorHAnsi" w:hAnsiTheme="majorHAnsi" w:cstheme="majorHAnsi"/>
                <w:i w:val="0"/>
                <w:iCs w:val="0"/>
                <w:sz w:val="18"/>
                <w:szCs w:val="18"/>
              </w:rPr>
            </w:pPr>
            <w:r w:rsidRPr="008508C9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Schulz, A. (2020).</w:t>
            </w:r>
            <w:r w:rsidRPr="008508C9">
              <w:rPr>
                <w:rStyle w:val="apple-converted-space"/>
                <w:rFonts w:asciiTheme="majorHAnsi" w:hAnsiTheme="majorHAnsi" w:cstheme="majorHAnsi"/>
                <w:color w:val="222222"/>
                <w:sz w:val="18"/>
                <w:szCs w:val="18"/>
              </w:rPr>
              <w:t> </w:t>
            </w:r>
            <w:hyperlink r:id="rId16" w:history="1">
              <w:r w:rsidRPr="008508C9">
                <w:rPr>
                  <w:rStyle w:val="Hyperlink"/>
                  <w:rFonts w:asciiTheme="majorHAnsi" w:hAnsiTheme="majorHAnsi" w:cstheme="majorHAnsi"/>
                  <w:sz w:val="18"/>
                  <w:szCs w:val="18"/>
                  <w:bdr w:val="none" w:sz="0" w:space="0" w:color="auto" w:frame="1"/>
                </w:rPr>
                <w:t xml:space="preserve">Erfolgreich rechnen lernen, Prävention von Schwierigkeiten – Diagnose – </w:t>
              </w:r>
              <w:proofErr w:type="spellStart"/>
              <w:r w:rsidRPr="008508C9">
                <w:rPr>
                  <w:rStyle w:val="Hyperlink"/>
                  <w:rFonts w:asciiTheme="majorHAnsi" w:hAnsiTheme="majorHAnsi" w:cstheme="majorHAnsi"/>
                  <w:sz w:val="18"/>
                  <w:szCs w:val="18"/>
                  <w:bdr w:val="none" w:sz="0" w:space="0" w:color="auto" w:frame="1"/>
                </w:rPr>
                <w:t>Förderung</w:t>
              </w:r>
            </w:hyperlink>
            <w:proofErr w:type="spellEnd"/>
          </w:p>
          <w:p w14:paraId="5E551BC7" w14:textId="2A6D577D" w:rsidR="008508C9" w:rsidRPr="00DD76A9" w:rsidRDefault="008508C9" w:rsidP="008508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508C9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Wartha</w:t>
            </w:r>
            <w:proofErr w:type="spellEnd"/>
            <w:r w:rsidRPr="008508C9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, S.; Schulz, A. (2011).</w:t>
            </w:r>
            <w:r w:rsidRPr="008508C9">
              <w:rPr>
                <w:rStyle w:val="apple-converted-space"/>
                <w:rFonts w:asciiTheme="majorHAnsi" w:hAnsiTheme="majorHAnsi" w:cstheme="majorHAnsi"/>
                <w:color w:val="222222"/>
                <w:sz w:val="18"/>
                <w:szCs w:val="18"/>
              </w:rPr>
              <w:t> </w:t>
            </w:r>
            <w:hyperlink r:id="rId17" w:history="1">
              <w:r w:rsidRPr="008508C9">
                <w:rPr>
                  <w:rStyle w:val="Hyperlink"/>
                  <w:rFonts w:asciiTheme="majorHAnsi" w:hAnsiTheme="majorHAnsi" w:cstheme="majorHAnsi"/>
                  <w:sz w:val="18"/>
                  <w:szCs w:val="18"/>
                  <w:bdr w:val="none" w:sz="0" w:space="0" w:color="auto" w:frame="1"/>
                </w:rPr>
                <w:t>A</w:t>
              </w:r>
              <w:r w:rsidRPr="008508C9">
                <w:rPr>
                  <w:rStyle w:val="Hyperlink"/>
                  <w:rFonts w:asciiTheme="majorHAnsi" w:hAnsiTheme="majorHAnsi" w:cstheme="majorHAnsi"/>
                  <w:sz w:val="18"/>
                  <w:szCs w:val="18"/>
                  <w:bdr w:val="none" w:sz="0" w:space="0" w:color="auto" w:frame="1"/>
                </w:rPr>
                <w:t>u</w:t>
              </w:r>
              <w:r w:rsidRPr="008508C9">
                <w:rPr>
                  <w:rStyle w:val="Hyperlink"/>
                  <w:rFonts w:asciiTheme="majorHAnsi" w:hAnsiTheme="majorHAnsi" w:cstheme="majorHAnsi"/>
                  <w:sz w:val="18"/>
                  <w:szCs w:val="18"/>
                  <w:bdr w:val="none" w:sz="0" w:space="0" w:color="auto" w:frame="1"/>
                </w:rPr>
                <w:t>fbau von Grundvorstellungen (nicht nur) bei besonderen Schwierigkeiten im Rechnen</w:t>
              </w:r>
            </w:hyperlink>
          </w:p>
        </w:tc>
      </w:tr>
      <w:tr w:rsidR="00AC2AAF" w:rsidRPr="00DD76A9" w14:paraId="743F696E" w14:textId="77777777" w:rsidTr="00C958E3">
        <w:trPr>
          <w:gridAfter w:val="2"/>
          <w:wAfter w:w="400" w:type="dxa"/>
        </w:trPr>
        <w:tc>
          <w:tcPr>
            <w:tcW w:w="9574" w:type="dxa"/>
            <w:gridSpan w:val="6"/>
            <w:tcBorders>
              <w:left w:val="nil"/>
              <w:right w:val="nil"/>
            </w:tcBorders>
          </w:tcPr>
          <w:p w14:paraId="15302D1D" w14:textId="05796F85" w:rsidR="00AC2AAF" w:rsidRPr="00FE1AE0" w:rsidRDefault="00AC2AAF" w:rsidP="00AC2A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Operationsverständnis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FE1AE0">
              <w:rPr>
                <w:rFonts w:ascii="Arial" w:hAnsi="Arial" w:cs="Arial"/>
                <w:b/>
                <w:bCs/>
                <w:sz w:val="18"/>
                <w:szCs w:val="18"/>
              </w:rPr>
              <w:t>Aufgaben und Unterricht</w:t>
            </w:r>
          </w:p>
        </w:tc>
      </w:tr>
      <w:tr w:rsidR="00AC2AAF" w:rsidRPr="00DD76A9" w14:paraId="04D28107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3FBC8E22" w14:textId="40721982" w:rsidR="00AC2AAF" w:rsidRPr="00105A58" w:rsidRDefault="00AC2AAF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5A58">
              <w:rPr>
                <w:rFonts w:asciiTheme="majorHAnsi" w:hAnsiTheme="majorHAnsi" w:cstheme="majorHAnsi"/>
                <w:sz w:val="20"/>
                <w:szCs w:val="20"/>
              </w:rPr>
              <w:t>Ich weiß, wie ich Unterricht gestalten kann, um in heterogenen Lerngruppen den Aufbau eines tragfähigen multiplikativen Operationsverständnisses bei allen Kindern zu fordern und zu fördern.</w:t>
            </w:r>
          </w:p>
        </w:tc>
        <w:tc>
          <w:tcPr>
            <w:tcW w:w="426" w:type="dxa"/>
          </w:tcPr>
          <w:p w14:paraId="3FA57ADB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6E87E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8F207CE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8226877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right w:val="nil"/>
            </w:tcBorders>
          </w:tcPr>
          <w:p w14:paraId="4673F387" w14:textId="3E610125" w:rsidR="00E549A8" w:rsidRPr="004D2672" w:rsidRDefault="00E549A8" w:rsidP="00E549A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8" w:history="1"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Webseit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Mathe ink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u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iv mit PIKAS</w:t>
              </w:r>
            </w:hyperlink>
            <w:r w:rsidRPr="004D26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D543DA7" w14:textId="77777777" w:rsidR="00AC2AAF" w:rsidRDefault="00E549A8" w:rsidP="00E549A8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Aufgabenstellung kompakt </w:t>
            </w:r>
            <w:r w:rsidRPr="00E549A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Pasch würfeln</w:t>
            </w:r>
          </w:p>
          <w:p w14:paraId="4B0E7605" w14:textId="6A15B3EB" w:rsidR="00B55DAE" w:rsidRPr="00DD76A9" w:rsidRDefault="00B55DAE" w:rsidP="00E549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</w:t>
              </w:r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Mathematik gemeinsam lernen</w:t>
              </w:r>
            </w:hyperlink>
            <w:r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Pr="00AC2AA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AC2AAF" w:rsidRPr="00DD76A9" w14:paraId="1C2C0729" w14:textId="77777777" w:rsidTr="0058701F">
        <w:trPr>
          <w:gridAfter w:val="1"/>
          <w:wAfter w:w="8" w:type="dxa"/>
        </w:trPr>
        <w:tc>
          <w:tcPr>
            <w:tcW w:w="9966" w:type="dxa"/>
            <w:gridSpan w:val="7"/>
            <w:tcBorders>
              <w:left w:val="nil"/>
              <w:right w:val="nil"/>
            </w:tcBorders>
            <w:vAlign w:val="center"/>
          </w:tcPr>
          <w:p w14:paraId="69D7F056" w14:textId="5E774275" w:rsidR="00AC2AAF" w:rsidRPr="003E57FC" w:rsidRDefault="00AC2AAF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Förderschwerpunkt Sprache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Theoretisches Hintergrundwissen</w:t>
            </w:r>
          </w:p>
        </w:tc>
      </w:tr>
      <w:tr w:rsidR="00E549A8" w:rsidRPr="00E549A8" w14:paraId="44BD436E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01338DFF" w14:textId="463B5F77" w:rsidR="00E549A8" w:rsidRPr="0022480A" w:rsidRDefault="00E549A8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weiß, welche Elemente der AO-SF in Bezug auf den Förderschwerpunkt Sprache für den Unterricht wichtig sind und weiß, was sie für meine pädagogische Arbeit bedeuten.</w:t>
            </w:r>
          </w:p>
        </w:tc>
        <w:tc>
          <w:tcPr>
            <w:tcW w:w="426" w:type="dxa"/>
          </w:tcPr>
          <w:p w14:paraId="31DB212A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42492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44BD1FD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BC3AA14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 w:val="restart"/>
            <w:tcBorders>
              <w:right w:val="nil"/>
            </w:tcBorders>
          </w:tcPr>
          <w:p w14:paraId="34A442AF" w14:textId="77777777" w:rsidR="00A62D25" w:rsidRDefault="00E549A8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</w:t>
              </w:r>
              <w:r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</w:t>
              </w:r>
              <w:r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Mathematik gemeinsam lernen</w:t>
              </w:r>
            </w:hyperlink>
            <w:r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 w:rsidRPr="00E549A8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E549A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A62D25"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9C389BB" w14:textId="697B276C" w:rsidR="00A62D25" w:rsidRPr="00E549A8" w:rsidRDefault="00A62D25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Broschüre </w:t>
            </w:r>
            <w:hyperlink r:id="rId21" w:history="1">
              <w:r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Sonderpädagogische Förderschwerpunkte in NRW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(Kap.2 &amp; 3)</w:t>
            </w:r>
          </w:p>
          <w:p w14:paraId="5D87D1E1" w14:textId="77777777" w:rsidR="00A62D25" w:rsidRPr="00E549A8" w:rsidRDefault="00A62D25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2" w:history="1">
              <w:r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AO-SF NRW</w:t>
              </w:r>
            </w:hyperlink>
            <w:r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 (§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 w:rsidRPr="00E549A8">
              <w:rPr>
                <w:rFonts w:asciiTheme="majorHAnsi" w:hAnsiTheme="majorHAnsi" w:cstheme="majorHAnsi"/>
                <w:sz w:val="18"/>
                <w:szCs w:val="18"/>
              </w:rPr>
              <w:t>27)</w:t>
            </w:r>
          </w:p>
          <w:p w14:paraId="1C60B2EF" w14:textId="3E8B83D3" w:rsidR="00E549A8" w:rsidRPr="00E549A8" w:rsidRDefault="00E549A8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49A8" w:rsidRPr="00DD76A9" w14:paraId="3D1E1B79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12008E22" w14:textId="5E28E002" w:rsidR="00E549A8" w:rsidRDefault="00E549A8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kenne Hürden und günstige Bedingungen im Unterricht für Kinder mit dem Unterstützungsbedarf Sprache</w:t>
            </w:r>
          </w:p>
        </w:tc>
        <w:tc>
          <w:tcPr>
            <w:tcW w:w="426" w:type="dxa"/>
          </w:tcPr>
          <w:p w14:paraId="3A597349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8958F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7E40DB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08AC3FC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/>
            <w:tcBorders>
              <w:right w:val="nil"/>
            </w:tcBorders>
          </w:tcPr>
          <w:p w14:paraId="468D7DC0" w14:textId="69FC2238" w:rsidR="00E549A8" w:rsidRPr="003E57FC" w:rsidRDefault="00E549A8" w:rsidP="00AC2A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2AAF" w:rsidRPr="00DD76A9" w14:paraId="3F0EF548" w14:textId="77777777" w:rsidTr="0058701F">
        <w:trPr>
          <w:gridAfter w:val="1"/>
          <w:wAfter w:w="8" w:type="dxa"/>
        </w:trPr>
        <w:tc>
          <w:tcPr>
            <w:tcW w:w="9966" w:type="dxa"/>
            <w:gridSpan w:val="7"/>
            <w:tcBorders>
              <w:left w:val="nil"/>
              <w:right w:val="nil"/>
            </w:tcBorders>
            <w:vAlign w:val="center"/>
          </w:tcPr>
          <w:p w14:paraId="3FCD38F5" w14:textId="0426DE86" w:rsidR="00AC2AAF" w:rsidRPr="003E57FC" w:rsidRDefault="00AC2AAF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Förderschwerpunkt Sprache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FE1AE0">
              <w:rPr>
                <w:rFonts w:ascii="Arial" w:hAnsi="Arial" w:cs="Arial"/>
                <w:b/>
                <w:bCs/>
                <w:sz w:val="18"/>
                <w:szCs w:val="18"/>
              </w:rPr>
              <w:t>Aufgaben und Unterricht</w:t>
            </w:r>
          </w:p>
        </w:tc>
      </w:tr>
      <w:tr w:rsidR="00E549A8" w:rsidRPr="00DD76A9" w14:paraId="1359A38C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502E105C" w14:textId="485D8F88" w:rsidR="00E549A8" w:rsidRPr="003E57FC" w:rsidRDefault="00E549A8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weiß, wie ich</w:t>
            </w:r>
            <w:r w:rsidR="006031C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031C2">
              <w:rPr>
                <w:rFonts w:asciiTheme="majorHAnsi" w:hAnsiTheme="majorHAnsi" w:cstheme="majorHAnsi"/>
                <w:sz w:val="20"/>
                <w:szCs w:val="20"/>
              </w:rPr>
              <w:t xml:space="preserve">mathematische Aufgaben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für alle Kinder sprachsensibel gestalten kann und für den Förderschwerpunkt Sprache konkret anpassen kann.</w:t>
            </w:r>
          </w:p>
        </w:tc>
        <w:tc>
          <w:tcPr>
            <w:tcW w:w="426" w:type="dxa"/>
          </w:tcPr>
          <w:p w14:paraId="123676B6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4DD10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18A72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7393D3C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right w:val="nil"/>
            </w:tcBorders>
          </w:tcPr>
          <w:p w14:paraId="20F7145A" w14:textId="77777777" w:rsidR="00E549A8" w:rsidRDefault="00E549A8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549A8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E549A8">
              <w:rPr>
                <w:rFonts w:asciiTheme="majorHAnsi" w:hAnsiTheme="majorHAnsi" w:cstheme="majorHAnsi"/>
                <w:sz w:val="18"/>
                <w:szCs w:val="18"/>
              </w:rPr>
              <w:instrText>HYPERLINK "https://pikas.dzlm.de/pikasfiles/uploads/Dokumente/buch/handreichung-mathematik-gemeinsam-lernen.pdf"</w:instrText>
            </w:r>
            <w:r w:rsidRPr="00E549A8">
              <w:rPr>
                <w:rFonts w:asciiTheme="majorHAnsi" w:hAnsiTheme="majorHAnsi" w:cstheme="majorHAnsi"/>
                <w:sz w:val="18"/>
                <w:szCs w:val="18"/>
              </w:rPr>
            </w:r>
            <w:r w:rsidRPr="00E549A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E549A8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>Handreichung Mathematik gemeinsam lernen</w:t>
            </w:r>
            <w:r w:rsidRPr="00E549A8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 (Kap. 7)</w:t>
            </w:r>
          </w:p>
          <w:p w14:paraId="7B6E2D11" w14:textId="71AFCAE8" w:rsidR="00B72BAF" w:rsidRPr="004D2672" w:rsidRDefault="00B72BAF" w:rsidP="00B72B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3" w:history="1"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Webseite Mathe inklusiv mit PIKAS</w:t>
              </w:r>
            </w:hyperlink>
            <w:r w:rsidRPr="004D26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CC3D651" w14:textId="4ABB1F79" w:rsidR="00B72BAF" w:rsidRDefault="00B72BAF" w:rsidP="00B72BA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Förderschwerpunkt Sprache </w:t>
            </w:r>
            <w:r w:rsidRPr="00B72BA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Unterricht</w:t>
            </w:r>
          </w:p>
          <w:p w14:paraId="69EF1085" w14:textId="2187C54D" w:rsidR="00E549A8" w:rsidRPr="002170D3" w:rsidRDefault="00A62D25" w:rsidP="002170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Broschüre </w:t>
            </w:r>
            <w:hyperlink r:id="rId24" w:history="1">
              <w:r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Sonderpädagogische Förderschwerpunkte in NRW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(Kap.2 &amp; 3)</w:t>
            </w:r>
          </w:p>
        </w:tc>
      </w:tr>
    </w:tbl>
    <w:p w14:paraId="3AB6FD96" w14:textId="77777777" w:rsidR="00B17C6C" w:rsidRPr="00DD76A9" w:rsidRDefault="00B17C6C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17C6C" w:rsidRPr="00DD76A9" w:rsidSect="003E57F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0B64" w14:textId="77777777" w:rsidR="004A1DE4" w:rsidRDefault="004A1DE4" w:rsidP="00161941">
      <w:r>
        <w:separator/>
      </w:r>
    </w:p>
  </w:endnote>
  <w:endnote w:type="continuationSeparator" w:id="0">
    <w:p w14:paraId="2BD009BE" w14:textId="77777777" w:rsidR="004A1DE4" w:rsidRDefault="004A1DE4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465C" w14:textId="77777777" w:rsidR="00864F95" w:rsidRDefault="00864F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>
          <w:rPr>
            <w:rStyle w:val="Seitenzahl"/>
            <w:rFonts w:ascii="Roboto" w:hAnsi="Roboto"/>
          </w:rPr>
          <w:t>2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7EC8F7DA" w:rsidR="004F68C0" w:rsidRDefault="00AC40CC" w:rsidP="00AC40CC">
    <w:pPr>
      <w:pStyle w:val="Fuzeile"/>
      <w:jc w:val="right"/>
    </w:pPr>
    <w:r>
      <w:rPr>
        <w:noProof/>
      </w:rPr>
      <w:drawing>
        <wp:inline distT="0" distB="0" distL="0" distR="0" wp14:anchorId="44CE9269" wp14:editId="43D39724">
          <wp:extent cx="403200" cy="257316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25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2AB02" wp14:editId="0EC5BBDA">
              <wp:simplePos x="0" y="0"/>
              <wp:positionH relativeFrom="column">
                <wp:posOffset>5037530</wp:posOffset>
              </wp:positionH>
              <wp:positionV relativeFrom="paragraph">
                <wp:posOffset>313290</wp:posOffset>
              </wp:positionV>
              <wp:extent cx="1878037" cy="162000"/>
              <wp:effectExtent l="0" t="0" r="1905" b="3175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037" cy="1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ED51A" w14:textId="77777777" w:rsidR="00AC40CC" w:rsidRPr="009D01FB" w:rsidRDefault="00AC40CC" w:rsidP="00AC40CC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9D01FB">
                            <w:rPr>
                              <w:sz w:val="20"/>
                              <w:szCs w:val="20"/>
                            </w:rPr>
                            <w:t>© Fachoffensive Mathematik NRW</w:t>
                          </w:r>
                        </w:p>
                        <w:p w14:paraId="302230C5" w14:textId="77777777" w:rsidR="00AC40CC" w:rsidRPr="00E232F1" w:rsidRDefault="00AC40CC" w:rsidP="00AC40C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2AB02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7" type="#_x0000_t202" style="position:absolute;left:0;text-align:left;margin-left:396.65pt;margin-top:24.65pt;width:147.9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" fillcolor="white [3201]" stroked="f" strokeweight=".5pt">
              <v:textbox inset="0,0,0,0">
                <w:txbxContent>
                  <w:p w14:paraId="6B5ED51A" w14:textId="77777777" w:rsidR="00AC40CC" w:rsidRPr="009D01FB" w:rsidRDefault="00AC40CC" w:rsidP="00AC40CC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9D01FB">
                      <w:rPr>
                        <w:sz w:val="20"/>
                        <w:szCs w:val="20"/>
                      </w:rPr>
                      <w:t>© Fachoffensive Mathematik NRW</w:t>
                    </w:r>
                  </w:p>
                  <w:p w14:paraId="302230C5" w14:textId="77777777" w:rsidR="00AC40CC" w:rsidRPr="00E232F1" w:rsidRDefault="00AC40CC" w:rsidP="00AC40C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C177" w14:textId="77777777" w:rsidR="00864F95" w:rsidRDefault="00864F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D70F" w14:textId="77777777" w:rsidR="004A1DE4" w:rsidRDefault="004A1DE4" w:rsidP="00161941">
      <w:r>
        <w:separator/>
      </w:r>
    </w:p>
  </w:footnote>
  <w:footnote w:type="continuationSeparator" w:id="0">
    <w:p w14:paraId="360765F6" w14:textId="77777777" w:rsidR="004A1DE4" w:rsidRDefault="004A1DE4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7F16" w14:textId="77777777" w:rsidR="00864F95" w:rsidRDefault="00864F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5E36B109" w:rsidR="00161941" w:rsidRDefault="001C6384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3995C609">
              <wp:simplePos x="0" y="0"/>
              <wp:positionH relativeFrom="column">
                <wp:posOffset>46800</wp:posOffset>
              </wp:positionH>
              <wp:positionV relativeFrom="paragraph">
                <wp:posOffset>-342215</wp:posOffset>
              </wp:positionV>
              <wp:extent cx="6998390" cy="963561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998390" cy="96356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26AD0419" w:rsidR="00161941" w:rsidRPr="00C31066" w:rsidRDefault="00161941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KOMPETENZ</w:t>
                          </w:r>
                          <w:r w:rsidR="00DD76A9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LISTE</w:t>
                          </w: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ZUM MODUL</w:t>
                          </w:r>
                          <w:r w:rsidR="001C6384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1C6384" w:rsidRPr="001C6384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0FF0441C" w14:textId="64CAD1D9" w:rsidR="00161941" w:rsidRPr="00AC40CC" w:rsidRDefault="001C6384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</w:pPr>
                          <w:r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Diagnosegeleitet Fördern – Operation</w:t>
                          </w:r>
                          <w:r w:rsidR="00864F95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en verstehen</w:t>
                          </w:r>
                          <w:r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 – F</w:t>
                          </w:r>
                          <w:r w:rsid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  <w:r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 Sprache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311208EE" w:rsidR="00161941" w:rsidRPr="00C31066" w:rsidRDefault="00AC40CC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Fachoffensive NRW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1C6384"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gemeinsam lernen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6" style="position:absolute;margin-left:3.7pt;margin-top:-26.95pt;width:551.05pt;height:7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" filled="f" stroked="f">
              <o:lock v:ext="edit" grouping="t"/>
              <v:textbox inset="0,0,0,0">
                <w:txbxContent>
                  <w:p w14:paraId="7368A0DD" w14:textId="26AD0419" w:rsidR="00161941" w:rsidRPr="00C31066" w:rsidRDefault="00161941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KOMPETENZ</w:t>
                    </w:r>
                    <w:r w:rsidR="00DD76A9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LISTE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 ZUM MODUL</w:t>
                    </w:r>
                    <w:r w:rsidR="001C6384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1C6384" w:rsidRPr="001C6384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2</w:t>
                    </w:r>
                  </w:p>
                  <w:p w14:paraId="0FF0441C" w14:textId="64CAD1D9" w:rsidR="00161941" w:rsidRPr="00AC40CC" w:rsidRDefault="001C6384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</w:pPr>
                    <w:r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Diagnosegeleitet Fördern – Operation</w:t>
                    </w:r>
                    <w:r w:rsidR="00864F95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en verstehen</w:t>
                    </w:r>
                    <w:r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 xml:space="preserve"> – F</w:t>
                    </w:r>
                    <w:r w:rsid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S</w:t>
                    </w:r>
                    <w:r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 xml:space="preserve"> Sprache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311208EE" w:rsidR="00161941" w:rsidRPr="00C31066" w:rsidRDefault="00AC40CC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Fachoffensive NRW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1C6384">
                      <w:rPr>
                        <w:rFonts w:ascii="Arial" w:hAnsi="Arial" w:cs="Arial"/>
                        <w:b/>
                        <w:bCs/>
                      </w:rPr>
                      <w:t>Mathematik gemeinsam lernen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55D764E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7D889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A593" w14:textId="77777777" w:rsidR="00864F95" w:rsidRDefault="00864F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3775"/>
    <w:multiLevelType w:val="hybridMultilevel"/>
    <w:tmpl w:val="7D7C7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088297">
    <w:abstractNumId w:val="0"/>
  </w:num>
  <w:num w:numId="2" w16cid:durableId="42731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34956"/>
    <w:rsid w:val="000623DB"/>
    <w:rsid w:val="00072085"/>
    <w:rsid w:val="0008563C"/>
    <w:rsid w:val="000A2D9E"/>
    <w:rsid w:val="000A4662"/>
    <w:rsid w:val="000A51A6"/>
    <w:rsid w:val="000A6EC0"/>
    <w:rsid w:val="000D4177"/>
    <w:rsid w:val="000F3FBC"/>
    <w:rsid w:val="000F6F08"/>
    <w:rsid w:val="00105A58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6384"/>
    <w:rsid w:val="001C72AE"/>
    <w:rsid w:val="001E18FF"/>
    <w:rsid w:val="002053A7"/>
    <w:rsid w:val="00217098"/>
    <w:rsid w:val="002170D3"/>
    <w:rsid w:val="0022480A"/>
    <w:rsid w:val="00227D41"/>
    <w:rsid w:val="00247239"/>
    <w:rsid w:val="002645B6"/>
    <w:rsid w:val="00270472"/>
    <w:rsid w:val="002820AA"/>
    <w:rsid w:val="002877BF"/>
    <w:rsid w:val="00295DF7"/>
    <w:rsid w:val="002A1C34"/>
    <w:rsid w:val="002A28A1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47C76"/>
    <w:rsid w:val="003536CB"/>
    <w:rsid w:val="00356DEB"/>
    <w:rsid w:val="00371EC1"/>
    <w:rsid w:val="003930A0"/>
    <w:rsid w:val="003A0822"/>
    <w:rsid w:val="003A30A8"/>
    <w:rsid w:val="003C18E5"/>
    <w:rsid w:val="003E57FC"/>
    <w:rsid w:val="00426A87"/>
    <w:rsid w:val="004318EA"/>
    <w:rsid w:val="00437A46"/>
    <w:rsid w:val="00437A6A"/>
    <w:rsid w:val="0045305B"/>
    <w:rsid w:val="004A1DE4"/>
    <w:rsid w:val="004B5BB8"/>
    <w:rsid w:val="004D2672"/>
    <w:rsid w:val="004F4102"/>
    <w:rsid w:val="004F4C96"/>
    <w:rsid w:val="004F68C0"/>
    <w:rsid w:val="00530470"/>
    <w:rsid w:val="00554B42"/>
    <w:rsid w:val="00566864"/>
    <w:rsid w:val="0058701F"/>
    <w:rsid w:val="0059133B"/>
    <w:rsid w:val="005A45E0"/>
    <w:rsid w:val="005B7DD6"/>
    <w:rsid w:val="005E0ACD"/>
    <w:rsid w:val="005F43FD"/>
    <w:rsid w:val="006031C2"/>
    <w:rsid w:val="00642BB8"/>
    <w:rsid w:val="0065273C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48B7"/>
    <w:rsid w:val="006E53B0"/>
    <w:rsid w:val="006E5E77"/>
    <w:rsid w:val="006F4B5A"/>
    <w:rsid w:val="00701D31"/>
    <w:rsid w:val="00716EBA"/>
    <w:rsid w:val="00730B77"/>
    <w:rsid w:val="0073280B"/>
    <w:rsid w:val="00734AD6"/>
    <w:rsid w:val="00736538"/>
    <w:rsid w:val="00737226"/>
    <w:rsid w:val="00753F34"/>
    <w:rsid w:val="0075782D"/>
    <w:rsid w:val="00794B2C"/>
    <w:rsid w:val="00794D19"/>
    <w:rsid w:val="00795E3A"/>
    <w:rsid w:val="007A4287"/>
    <w:rsid w:val="007C0EB3"/>
    <w:rsid w:val="007F37F3"/>
    <w:rsid w:val="007F453C"/>
    <w:rsid w:val="00806044"/>
    <w:rsid w:val="00812AFD"/>
    <w:rsid w:val="008259BE"/>
    <w:rsid w:val="008261C5"/>
    <w:rsid w:val="00847018"/>
    <w:rsid w:val="008508C9"/>
    <w:rsid w:val="00864F95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9059C8"/>
    <w:rsid w:val="009071EF"/>
    <w:rsid w:val="00957BAF"/>
    <w:rsid w:val="00964C73"/>
    <w:rsid w:val="009663E1"/>
    <w:rsid w:val="00966888"/>
    <w:rsid w:val="009714DC"/>
    <w:rsid w:val="00984387"/>
    <w:rsid w:val="009B341A"/>
    <w:rsid w:val="009B5515"/>
    <w:rsid w:val="009F37D2"/>
    <w:rsid w:val="009F3C75"/>
    <w:rsid w:val="00A273D5"/>
    <w:rsid w:val="00A54CFF"/>
    <w:rsid w:val="00A57831"/>
    <w:rsid w:val="00A62D25"/>
    <w:rsid w:val="00A72E95"/>
    <w:rsid w:val="00A77114"/>
    <w:rsid w:val="00AA09E0"/>
    <w:rsid w:val="00AA459A"/>
    <w:rsid w:val="00AB3B6D"/>
    <w:rsid w:val="00AC2AAF"/>
    <w:rsid w:val="00AC4000"/>
    <w:rsid w:val="00AC40CC"/>
    <w:rsid w:val="00AE018F"/>
    <w:rsid w:val="00B0462A"/>
    <w:rsid w:val="00B113E8"/>
    <w:rsid w:val="00B17C6C"/>
    <w:rsid w:val="00B26B25"/>
    <w:rsid w:val="00B3785E"/>
    <w:rsid w:val="00B4441B"/>
    <w:rsid w:val="00B55DAE"/>
    <w:rsid w:val="00B70DD8"/>
    <w:rsid w:val="00B72BAF"/>
    <w:rsid w:val="00B914A1"/>
    <w:rsid w:val="00B95BE5"/>
    <w:rsid w:val="00B95FB5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4B38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1823"/>
    <w:rsid w:val="00DA2641"/>
    <w:rsid w:val="00DB142F"/>
    <w:rsid w:val="00DB6FAA"/>
    <w:rsid w:val="00DC5B0E"/>
    <w:rsid w:val="00DD76A9"/>
    <w:rsid w:val="00E160E4"/>
    <w:rsid w:val="00E2397E"/>
    <w:rsid w:val="00E36838"/>
    <w:rsid w:val="00E50667"/>
    <w:rsid w:val="00E526E2"/>
    <w:rsid w:val="00E549A8"/>
    <w:rsid w:val="00E83F45"/>
    <w:rsid w:val="00E871D8"/>
    <w:rsid w:val="00EC07C2"/>
    <w:rsid w:val="00ED0678"/>
    <w:rsid w:val="00ED7CFC"/>
    <w:rsid w:val="00EE1239"/>
    <w:rsid w:val="00EE220F"/>
    <w:rsid w:val="00EE41F0"/>
    <w:rsid w:val="00EF47FA"/>
    <w:rsid w:val="00F0464F"/>
    <w:rsid w:val="00F064C9"/>
    <w:rsid w:val="00F06786"/>
    <w:rsid w:val="00F105E8"/>
    <w:rsid w:val="00F21252"/>
    <w:rsid w:val="00F24092"/>
    <w:rsid w:val="00F364AD"/>
    <w:rsid w:val="00F3680D"/>
    <w:rsid w:val="00F36982"/>
    <w:rsid w:val="00F4602C"/>
    <w:rsid w:val="00F55318"/>
    <w:rsid w:val="00F6601D"/>
    <w:rsid w:val="00F80C34"/>
    <w:rsid w:val="00F81740"/>
    <w:rsid w:val="00F84214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FBF72E81-2088-104A-9D28-C1A57FB1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character" w:styleId="Hyperlink">
    <w:name w:val="Hyperlink"/>
    <w:basedOn w:val="Absatz-Standardschriftart"/>
    <w:uiPriority w:val="99"/>
    <w:unhideWhenUsed/>
    <w:rsid w:val="00AC40C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40C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6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508C9"/>
  </w:style>
  <w:style w:type="character" w:styleId="Hervorhebung">
    <w:name w:val="Emphasis"/>
    <w:basedOn w:val="Absatz-Standardschriftart"/>
    <w:uiPriority w:val="20"/>
    <w:qFormat/>
    <w:rsid w:val="00850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s-mi.dzlm.de/node/54" TargetMode="External"/><Relationship Id="rId13" Type="http://schemas.openxmlformats.org/officeDocument/2006/relationships/hyperlink" Target="https://pikas.dzlm.de/pikasfiles/uploads/Dokumente/buch/handreichung-mathematik-gemeinsam-lernen.pdf" TargetMode="External"/><Relationship Id="rId18" Type="http://schemas.openxmlformats.org/officeDocument/2006/relationships/hyperlink" Target="https://pikas-mi.dzlm.de/node/63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broschuerenservice.nrw.de/msb-duesseldorf/shop/Sonderp&#228;dagogische_F&#246;rderschwerpunkte_in_NR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kas-mi.dzlm.de/node/499" TargetMode="External"/><Relationship Id="rId17" Type="http://schemas.openxmlformats.org/officeDocument/2006/relationships/hyperlink" Target="http://www.sinus-an-grundschulen.de/fileadmin/uploads/Material_aus_SGS/Handreichung_WarthaSchulz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ldungsserver.berlin-brandenburg.de/fileadmin/bbb/unterricht/faecher/naturwissenschaften/mathematik/Materialien_zur_Diagnose_und_Foerderung_im_Mathematikunterricht/Erfolgreich_rechnen_lernen_WEB_2019_12_20.pdf" TargetMode="External"/><Relationship Id="rId20" Type="http://schemas.openxmlformats.org/officeDocument/2006/relationships/hyperlink" Target="https://pikas.dzlm.de/pikasfiles/uploads/Dokumente/buch/handreichung-mathematik-gemeinsam-lernen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kas.dzlm.de/pikasfiles/uploads/Dokumente/buch/handreichung-mathematik-gemeinsam-lernen.pdf" TargetMode="External"/><Relationship Id="rId24" Type="http://schemas.openxmlformats.org/officeDocument/2006/relationships/hyperlink" Target="https://broschuerenservice.nrw.de/msb-duesseldorf/shop/Sonderp&#228;dagogische_F&#246;rderschwerpunkte_in_NR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kas.dzlm.de/pikasfiles/uploads/Dokumente/buch/handreichung-mathematik-gemeinsam-lernen.pdf" TargetMode="External"/><Relationship Id="rId23" Type="http://schemas.openxmlformats.org/officeDocument/2006/relationships/hyperlink" Target="https://pikas-mi.dzlm.de/node/13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ikas-mi.dzlm.de/node/499" TargetMode="External"/><Relationship Id="rId19" Type="http://schemas.openxmlformats.org/officeDocument/2006/relationships/hyperlink" Target="https://pikas.dzlm.de/pikasfiles/uploads/Dokumente/buch/handreichung-mathematik-gemeinsam-lernen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kas.dzlm.de/pikasfiles/uploads/Dokumente/buch/handreichung-mathematik-gemeinsam-lernen.pdf" TargetMode="External"/><Relationship Id="rId14" Type="http://schemas.openxmlformats.org/officeDocument/2006/relationships/hyperlink" Target="https://pikas-mi.dzlm.de/node/589" TargetMode="External"/><Relationship Id="rId22" Type="http://schemas.openxmlformats.org/officeDocument/2006/relationships/hyperlink" Target="https://bass.schul-welt.de/pdf/6225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92D41-0AF4-CF41-AC25-99ABD87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Annika Pott</cp:lastModifiedBy>
  <cp:revision>13</cp:revision>
  <dcterms:created xsi:type="dcterms:W3CDTF">2023-04-17T07:49:00Z</dcterms:created>
  <dcterms:modified xsi:type="dcterms:W3CDTF">2023-04-17T10:08:00Z</dcterms:modified>
</cp:coreProperties>
</file>